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before="0"/>
        <w:ind w:firstLine="0" w:left="0" w:right="0"/>
        <w:jc w:val="center"/>
        <w:rPr>
          <w:rFonts w:ascii="XO Thames" w:hAnsi="XO Thames"/>
          <w:b w:val="0"/>
          <w:i w:val="0"/>
          <w:caps w:val="0"/>
          <w:color w:val="2A2C32"/>
          <w:spacing w:val="3"/>
          <w:sz w:val="28"/>
        </w:rPr>
      </w:pPr>
      <w:r>
        <w:rPr>
          <w:rFonts w:ascii="XO Thames" w:hAnsi="XO Thames"/>
          <w:b w:val="1"/>
          <w:i w:val="0"/>
          <w:caps w:val="0"/>
          <w:color w:val="2A2C32"/>
          <w:spacing w:val="3"/>
          <w:sz w:val="28"/>
        </w:rPr>
        <w:t>Перечень возможных комплаенс-рисков, причин и условий их возникновения в деятельности</w:t>
      </w:r>
      <w:r>
        <w:rPr>
          <w:rFonts w:ascii="XO Thames" w:hAnsi="XO Thames"/>
          <w:b w:val="1"/>
          <w:i w:val="0"/>
          <w:caps w:val="0"/>
          <w:color w:val="2A2C32"/>
          <w:spacing w:val="3"/>
          <w:sz w:val="28"/>
        </w:rPr>
        <w:t> </w:t>
      </w:r>
      <w:r>
        <w:rPr>
          <w:rFonts w:ascii="XO Thames" w:hAnsi="XO Thames"/>
          <w:b w:val="1"/>
          <w:i w:val="0"/>
          <w:caps w:val="0"/>
          <w:color w:val="2A2C32"/>
          <w:spacing w:val="3"/>
          <w:sz w:val="28"/>
        </w:rPr>
        <w:t>исполнительных органов и органов местного самоуправления муниципальных образований</w:t>
      </w:r>
    </w:p>
    <w:p w14:paraId="02000000">
      <w:pPr>
        <w:spacing w:after="0" w:before="0"/>
        <w:ind w:firstLine="0" w:left="0" w:right="0"/>
        <w:jc w:val="center"/>
        <w:rPr>
          <w:rFonts w:ascii="XO Thames" w:hAnsi="XO Thames"/>
          <w:b w:val="0"/>
          <w:i w:val="0"/>
          <w:caps w:val="0"/>
          <w:color w:val="2A2C32"/>
          <w:spacing w:val="3"/>
          <w:sz w:val="28"/>
        </w:rPr>
      </w:pPr>
    </w:p>
    <w:tbl>
      <w:tblPr>
        <w:tblBorders>
          <w:top w:color="000000" w:sz="8" w:val="single"/>
          <w:left w:color="000000" w:sz="8" w:val="single"/>
          <w:bottom w:color="000000" w:sz="8" w:val="single"/>
          <w:right w:color="000000" w:sz="8" w:val="single"/>
        </w:tblBorders>
        <w:tblLayout w:type="fixed"/>
      </w:tblPr>
      <w:tblGrid>
        <w:gridCol w:w="566"/>
        <w:gridCol w:w="1245"/>
        <w:gridCol w:w="2818"/>
        <w:gridCol w:w="7155"/>
        <w:gridCol w:w="1689"/>
        <w:gridCol w:w="1674"/>
      </w:tblGrid>
      <w:tr>
        <w:tc>
          <w:tcPr>
            <w:tcW w:type="dxa" w:w="5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vAlign w:val="center"/>
          </w:tcPr>
          <w:p w14:paraId="03000000">
            <w:pPr>
              <w:spacing w:after="0" w:before="0"/>
              <w:ind w:firstLine="0" w:left="0" w:right="0"/>
              <w:jc w:val="center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b w:val="0"/>
                <w:sz w:val="24"/>
              </w:rPr>
              <w:t>№ п/п</w:t>
            </w:r>
          </w:p>
        </w:tc>
        <w:tc>
          <w:tcPr>
            <w:tcW w:type="dxa" w:w="124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vAlign w:val="center"/>
          </w:tcPr>
          <w:p w14:paraId="04000000">
            <w:pPr>
              <w:spacing w:after="0" w:before="0"/>
              <w:ind w:firstLine="0" w:left="0" w:right="0"/>
              <w:jc w:val="center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b w:val="0"/>
                <w:sz w:val="24"/>
              </w:rPr>
              <w:t>Уровень комплаенс-риска</w:t>
            </w:r>
          </w:p>
        </w:tc>
        <w:tc>
          <w:tcPr>
            <w:tcW w:type="dxa" w:w="281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vAlign w:val="center"/>
          </w:tcPr>
          <w:p w14:paraId="05000000">
            <w:pPr>
              <w:spacing w:after="0" w:before="0"/>
              <w:ind w:firstLine="0" w:left="0" w:right="0"/>
              <w:jc w:val="center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b w:val="0"/>
                <w:sz w:val="24"/>
              </w:rPr>
              <w:t>Краткое описание комплаенс-риска</w:t>
            </w:r>
          </w:p>
        </w:tc>
        <w:tc>
          <w:tcPr>
            <w:tcW w:type="dxa" w:w="715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vAlign w:val="center"/>
          </w:tcPr>
          <w:p w14:paraId="06000000">
            <w:pPr>
              <w:spacing w:after="0" w:before="0"/>
              <w:ind w:firstLine="0" w:left="0" w:right="0"/>
              <w:jc w:val="center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b w:val="0"/>
                <w:sz w:val="24"/>
              </w:rPr>
              <w:t>Причины и условия возникновения риска</w:t>
            </w:r>
          </w:p>
        </w:tc>
        <w:tc>
          <w:tcPr>
            <w:tcW w:type="dxa" w:w="168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vAlign w:val="center"/>
          </w:tcPr>
          <w:p w14:paraId="07000000">
            <w:pPr>
              <w:spacing w:after="0" w:before="0"/>
              <w:ind w:firstLine="0" w:left="0" w:right="0"/>
              <w:jc w:val="center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b w:val="0"/>
                <w:sz w:val="24"/>
              </w:rPr>
              <w:t>Наличие (отсутствие) остаточного риска</w:t>
            </w:r>
          </w:p>
        </w:tc>
        <w:tc>
          <w:tcPr>
            <w:tcW w:type="dxa" w:w="1674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vAlign w:val="center"/>
          </w:tcPr>
          <w:p w14:paraId="08000000">
            <w:pPr>
              <w:spacing w:after="0" w:before="0"/>
              <w:ind w:firstLine="0" w:left="0" w:right="0"/>
              <w:jc w:val="center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b w:val="0"/>
                <w:sz w:val="24"/>
              </w:rPr>
              <w:t>Вероятность повторного возникновения риска</w:t>
            </w:r>
          </w:p>
        </w:tc>
      </w:tr>
      <w:tr>
        <w:tc>
          <w:tcPr>
            <w:tcW w:type="dxa" w:w="5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vAlign w:val="center"/>
          </w:tcPr>
          <w:p w14:paraId="09000000">
            <w:pPr>
              <w:spacing w:after="0" w:before="0"/>
              <w:ind w:firstLine="0" w:left="0" w:right="0"/>
              <w:jc w:val="center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b w:val="0"/>
                <w:sz w:val="24"/>
              </w:rPr>
              <w:t>1</w:t>
            </w:r>
          </w:p>
        </w:tc>
        <w:tc>
          <w:tcPr>
            <w:tcW w:type="dxa" w:w="124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vAlign w:val="center"/>
          </w:tcPr>
          <w:p w14:paraId="0A000000">
            <w:pPr>
              <w:spacing w:after="0" w:before="0"/>
              <w:ind w:firstLine="0" w:left="0" w:right="0"/>
              <w:jc w:val="center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b w:val="0"/>
                <w:sz w:val="24"/>
              </w:rPr>
              <w:t>2</w:t>
            </w:r>
          </w:p>
        </w:tc>
        <w:tc>
          <w:tcPr>
            <w:tcW w:type="dxa" w:w="281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vAlign w:val="center"/>
          </w:tcPr>
          <w:p w14:paraId="0B000000">
            <w:pPr>
              <w:spacing w:after="0" w:before="0"/>
              <w:ind w:firstLine="0" w:left="0" w:right="0"/>
              <w:jc w:val="center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b w:val="0"/>
                <w:sz w:val="24"/>
              </w:rPr>
              <w:t>3</w:t>
            </w:r>
          </w:p>
        </w:tc>
        <w:tc>
          <w:tcPr>
            <w:tcW w:type="dxa" w:w="715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vAlign w:val="center"/>
          </w:tcPr>
          <w:p w14:paraId="0C000000">
            <w:pPr>
              <w:spacing w:after="0" w:before="0"/>
              <w:ind w:firstLine="0" w:left="0" w:right="0"/>
              <w:jc w:val="center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b w:val="0"/>
                <w:sz w:val="24"/>
              </w:rPr>
              <w:t>4</w:t>
            </w:r>
          </w:p>
        </w:tc>
        <w:tc>
          <w:tcPr>
            <w:tcW w:type="dxa" w:w="168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vAlign w:val="center"/>
          </w:tcPr>
          <w:p w14:paraId="0D000000">
            <w:pPr>
              <w:spacing w:after="0" w:before="0"/>
              <w:ind w:firstLine="0" w:left="0" w:right="0"/>
              <w:jc w:val="center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b w:val="0"/>
                <w:sz w:val="24"/>
              </w:rPr>
              <w:t>5</w:t>
            </w:r>
          </w:p>
        </w:tc>
        <w:tc>
          <w:tcPr>
            <w:tcW w:type="dxa" w:w="1674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vAlign w:val="center"/>
          </w:tcPr>
          <w:p w14:paraId="0E000000">
            <w:pPr>
              <w:spacing w:after="0" w:before="0"/>
              <w:ind w:firstLine="0" w:left="0" w:right="0"/>
              <w:jc w:val="center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b w:val="0"/>
                <w:sz w:val="24"/>
              </w:rPr>
              <w:t>6</w:t>
            </w:r>
          </w:p>
        </w:tc>
      </w:tr>
      <w:tr>
        <w:tc>
          <w:tcPr>
            <w:tcW w:type="dxa" w:w="566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vAlign w:val="center"/>
          </w:tcPr>
          <w:p w14:paraId="0F000000">
            <w:pPr>
              <w:spacing w:after="0" w:before="0"/>
              <w:ind w:firstLine="0" w:left="0" w:right="0"/>
              <w:jc w:val="center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b w:val="0"/>
                <w:sz w:val="24"/>
              </w:rPr>
              <w:t>1</w:t>
            </w:r>
          </w:p>
        </w:tc>
        <w:tc>
          <w:tcPr>
            <w:tcW w:type="dxa" w:w="1245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vAlign w:val="center"/>
          </w:tcPr>
          <w:p w14:paraId="10000000">
            <w:pPr>
              <w:spacing w:after="0" w:before="0"/>
              <w:ind w:firstLine="0" w:left="0" w:right="0"/>
              <w:jc w:val="center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b w:val="0"/>
                <w:sz w:val="24"/>
              </w:rPr>
              <w:t>Высокий</w:t>
            </w:r>
          </w:p>
        </w:tc>
        <w:tc>
          <w:tcPr>
            <w:tcW w:type="dxa" w:w="281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vAlign w:val="center"/>
          </w:tcPr>
          <w:p w14:paraId="11000000">
            <w:pPr>
              <w:spacing w:after="0" w:before="0"/>
              <w:ind w:firstLine="0" w:left="0" w:right="0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b w:val="0"/>
                <w:sz w:val="24"/>
              </w:rPr>
              <w:t>осуществление закупок товаров, работ, услуг;</w:t>
            </w:r>
          </w:p>
        </w:tc>
        <w:tc>
          <w:tcPr>
            <w:tcW w:type="dxa" w:w="7155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vAlign w:val="center"/>
          </w:tcPr>
          <w:p w14:paraId="12000000">
            <w:pPr>
              <w:numPr>
                <w:ilvl w:val="0"/>
                <w:numId w:val="1"/>
              </w:numPr>
              <w:spacing w:after="0" w:before="0"/>
              <w:ind w:firstLine="0" w:left="0" w:right="0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b w:val="0"/>
                <w:sz w:val="24"/>
              </w:rPr>
              <w:t>недостаточный уровень внутреннего контроля;</w:t>
            </w:r>
          </w:p>
          <w:p w14:paraId="13000000">
            <w:pPr>
              <w:numPr>
                <w:ilvl w:val="0"/>
                <w:numId w:val="1"/>
              </w:numPr>
              <w:spacing w:after="0" w:before="0"/>
              <w:ind w:firstLine="0" w:left="0" w:right="0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b w:val="0"/>
                <w:sz w:val="24"/>
              </w:rPr>
              <w:t>недостаточный уровень квалификации специалистов;</w:t>
            </w:r>
          </w:p>
          <w:p w14:paraId="14000000">
            <w:pPr>
              <w:numPr>
                <w:ilvl w:val="0"/>
                <w:numId w:val="1"/>
              </w:numPr>
              <w:spacing w:after="0" w:before="0"/>
              <w:ind w:firstLine="0" w:left="0" w:right="0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b w:val="0"/>
                <w:sz w:val="24"/>
              </w:rPr>
              <w:t>высокая нагрузка сотрудников;</w:t>
            </w:r>
          </w:p>
          <w:p w14:paraId="15000000">
            <w:pPr>
              <w:numPr>
                <w:ilvl w:val="0"/>
                <w:numId w:val="1"/>
              </w:numPr>
              <w:spacing w:after="0" w:before="0"/>
              <w:ind w:firstLine="0" w:left="0" w:right="0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b w:val="0"/>
                <w:sz w:val="24"/>
              </w:rPr>
              <w:t>наличие конфликта интересов у сотрудника, ответственного за проведение торгов;</w:t>
            </w:r>
          </w:p>
          <w:p w14:paraId="16000000">
            <w:pPr>
              <w:numPr>
                <w:ilvl w:val="0"/>
                <w:numId w:val="1"/>
              </w:numPr>
              <w:spacing w:after="0" w:before="0"/>
              <w:ind w:firstLine="0" w:left="0" w:right="0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b w:val="0"/>
                <w:sz w:val="24"/>
              </w:rPr>
              <w:t>отсутствие внутриведомственных регламентов и правил, определяющих порядок проведения торгов, входящего в состав комиссии;</w:t>
            </w:r>
          </w:p>
          <w:p w14:paraId="17000000">
            <w:pPr>
              <w:numPr>
                <w:ilvl w:val="0"/>
                <w:numId w:val="1"/>
              </w:numPr>
              <w:spacing w:after="0" w:before="0"/>
              <w:ind w:firstLine="0" w:left="0" w:right="0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b w:val="0"/>
                <w:sz w:val="24"/>
              </w:rPr>
              <w:t>несоблюдение требований законодательства Российской Федерации о контрактной системе в сфере закупок товаров работ, услуг для обеспечения государственных и муниципальных нужд, а также иных актов, регулирующих порядок проведения торгов</w:t>
            </w:r>
          </w:p>
        </w:tc>
        <w:tc>
          <w:tcPr>
            <w:tcW w:type="dxa" w:w="1689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vAlign w:val="center"/>
          </w:tcPr>
          <w:p w14:paraId="18000000">
            <w:pPr>
              <w:spacing w:after="0" w:before="0"/>
              <w:ind w:firstLine="0" w:left="0" w:right="0"/>
              <w:jc w:val="center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b w:val="0"/>
                <w:sz w:val="24"/>
              </w:rPr>
              <w:t>Присутствует</w:t>
            </w:r>
          </w:p>
        </w:tc>
        <w:tc>
          <w:tcPr>
            <w:tcW w:type="dxa" w:w="1674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vAlign w:val="center"/>
          </w:tcPr>
          <w:p w14:paraId="19000000">
            <w:pPr>
              <w:spacing w:after="0" w:before="0"/>
              <w:ind w:firstLine="0" w:left="0" w:right="0"/>
              <w:rPr>
                <w:rFonts w:ascii="XO Thames" w:hAnsi="XO Thames"/>
                <w:sz w:val="24"/>
              </w:rPr>
            </w:pPr>
          </w:p>
        </w:tc>
      </w:tr>
      <w:tr>
        <w:tc>
          <w:tcPr>
            <w:tcW w:type="dxa" w:w="566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vAlign w:val="center"/>
          </w:tcPr>
          <w:p/>
        </w:tc>
        <w:tc>
          <w:tcPr>
            <w:tcW w:type="dxa" w:w="124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vAlign w:val="center"/>
          </w:tcPr>
          <w:p/>
        </w:tc>
        <w:tc>
          <w:tcPr>
            <w:tcW w:type="dxa" w:w="281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vAlign w:val="center"/>
          </w:tcPr>
          <w:p w14:paraId="1A000000">
            <w:pPr>
              <w:spacing w:after="0" w:before="0"/>
              <w:ind w:firstLine="0" w:left="0" w:right="0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b w:val="0"/>
                <w:sz w:val="24"/>
              </w:rPr>
              <w:t>предоставление в пользование государственного имущества, включая земельные участки;</w:t>
            </w:r>
          </w:p>
        </w:tc>
        <w:tc>
          <w:tcPr>
            <w:tcW w:type="dxa" w:w="715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vAlign w:val="center"/>
          </w:tcPr>
          <w:p/>
        </w:tc>
        <w:tc>
          <w:tcPr>
            <w:tcW w:type="dxa" w:w="1689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vAlign w:val="center"/>
          </w:tcPr>
          <w:p/>
        </w:tc>
        <w:tc>
          <w:tcPr>
            <w:tcW w:type="dxa" w:w="1674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vAlign w:val="center"/>
          </w:tcPr>
          <w:p w14:paraId="1B000000">
            <w:pPr>
              <w:spacing w:after="0" w:before="0"/>
              <w:ind w:firstLine="0" w:left="0" w:right="0"/>
              <w:rPr>
                <w:rFonts w:ascii="XO Thames" w:hAnsi="XO Thames"/>
                <w:sz w:val="24"/>
              </w:rPr>
            </w:pPr>
          </w:p>
        </w:tc>
      </w:tr>
      <w:tr>
        <w:tc>
          <w:tcPr>
            <w:tcW w:type="dxa" w:w="566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vAlign w:val="center"/>
          </w:tcPr>
          <w:p/>
        </w:tc>
        <w:tc>
          <w:tcPr>
            <w:tcW w:type="dxa" w:w="124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vAlign w:val="center"/>
          </w:tcPr>
          <w:p/>
        </w:tc>
        <w:tc>
          <w:tcPr>
            <w:tcW w:type="dxa" w:w="281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vAlign w:val="center"/>
          </w:tcPr>
          <w:p w14:paraId="1C000000">
            <w:pPr>
              <w:spacing w:after="0" w:before="0"/>
              <w:ind w:firstLine="0" w:left="0" w:right="0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b w:val="0"/>
                <w:sz w:val="24"/>
              </w:rPr>
              <w:t>проведение обязательных торгов</w:t>
            </w:r>
          </w:p>
        </w:tc>
        <w:tc>
          <w:tcPr>
            <w:tcW w:type="dxa" w:w="715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vAlign w:val="center"/>
          </w:tcPr>
          <w:p/>
        </w:tc>
        <w:tc>
          <w:tcPr>
            <w:tcW w:type="dxa" w:w="1689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vAlign w:val="center"/>
          </w:tcPr>
          <w:p/>
        </w:tc>
        <w:tc>
          <w:tcPr>
            <w:tcW w:type="dxa" w:w="1674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vAlign w:val="center"/>
          </w:tcPr>
          <w:p w14:paraId="1D000000">
            <w:pPr>
              <w:spacing w:after="0" w:before="0"/>
              <w:ind w:firstLine="0" w:left="0" w:right="0"/>
              <w:rPr>
                <w:rFonts w:ascii="XO Thames" w:hAnsi="XO Thames"/>
                <w:sz w:val="24"/>
              </w:rPr>
            </w:pPr>
          </w:p>
        </w:tc>
      </w:tr>
      <w:tr>
        <w:tc>
          <w:tcPr>
            <w:tcW w:type="dxa" w:w="5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vAlign w:val="center"/>
          </w:tcPr>
          <w:p w14:paraId="1E000000">
            <w:pPr>
              <w:spacing w:after="0" w:before="0"/>
              <w:ind w:firstLine="0" w:left="0" w:right="0"/>
              <w:jc w:val="center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b w:val="0"/>
                <w:sz w:val="24"/>
              </w:rPr>
              <w:t>2</w:t>
            </w:r>
          </w:p>
        </w:tc>
        <w:tc>
          <w:tcPr>
            <w:tcW w:type="dxa" w:w="124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vAlign w:val="center"/>
          </w:tcPr>
          <w:p w14:paraId="1F000000">
            <w:pPr>
              <w:spacing w:after="0" w:before="0"/>
              <w:ind w:firstLine="0" w:left="0" w:right="0"/>
              <w:jc w:val="center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b w:val="0"/>
                <w:sz w:val="24"/>
              </w:rPr>
              <w:t>Высокий</w:t>
            </w:r>
          </w:p>
        </w:tc>
        <w:tc>
          <w:tcPr>
            <w:tcW w:type="dxa" w:w="281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vAlign w:val="center"/>
          </w:tcPr>
          <w:p w14:paraId="20000000">
            <w:pPr>
              <w:spacing w:after="0" w:before="0"/>
              <w:ind w:firstLine="0" w:left="0" w:right="0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b w:val="0"/>
                <w:sz w:val="24"/>
              </w:rPr>
              <w:t>предоставление преференций</w:t>
            </w:r>
          </w:p>
        </w:tc>
        <w:tc>
          <w:tcPr>
            <w:tcW w:type="dxa" w:w="715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vAlign w:val="center"/>
          </w:tcPr>
          <w:p w14:paraId="21000000">
            <w:pPr>
              <w:numPr>
                <w:ilvl w:val="0"/>
                <w:numId w:val="2"/>
              </w:numPr>
              <w:spacing w:after="0" w:before="0"/>
              <w:ind w:firstLine="0" w:left="0" w:right="0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b w:val="0"/>
                <w:sz w:val="24"/>
              </w:rPr>
              <w:t>недостаточный уровень внутреннего контроля;</w:t>
            </w:r>
          </w:p>
          <w:p w14:paraId="22000000">
            <w:pPr>
              <w:numPr>
                <w:ilvl w:val="0"/>
                <w:numId w:val="2"/>
              </w:numPr>
              <w:spacing w:after="0" w:before="0"/>
              <w:ind w:firstLine="0" w:left="0" w:right="0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b w:val="0"/>
                <w:sz w:val="24"/>
              </w:rPr>
              <w:t>недостаточный уровень квалификации специалистов;</w:t>
            </w:r>
          </w:p>
          <w:p w14:paraId="23000000">
            <w:pPr>
              <w:numPr>
                <w:ilvl w:val="0"/>
                <w:numId w:val="2"/>
              </w:numPr>
              <w:spacing w:after="0" w:before="0"/>
              <w:ind w:firstLine="0" w:left="0" w:right="0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b w:val="0"/>
                <w:sz w:val="24"/>
              </w:rPr>
              <w:t>наличие конфликта интересов;</w:t>
            </w:r>
          </w:p>
          <w:p w14:paraId="24000000">
            <w:pPr>
              <w:numPr>
                <w:ilvl w:val="0"/>
                <w:numId w:val="2"/>
              </w:numPr>
              <w:spacing w:after="0" w:before="0"/>
              <w:ind w:firstLine="0" w:left="0" w:right="0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b w:val="0"/>
                <w:sz w:val="24"/>
              </w:rPr>
              <w:t>несоблюдение требований Закона о защите конкуренции.</w:t>
            </w:r>
          </w:p>
        </w:tc>
        <w:tc>
          <w:tcPr>
            <w:tcW w:type="dxa" w:w="168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vAlign w:val="center"/>
          </w:tcPr>
          <w:p w14:paraId="25000000">
            <w:pPr>
              <w:spacing w:after="0" w:before="0"/>
              <w:ind w:firstLine="0" w:left="0" w:right="0"/>
              <w:jc w:val="center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b w:val="0"/>
                <w:sz w:val="24"/>
              </w:rPr>
              <w:t>Имеется</w:t>
            </w:r>
          </w:p>
        </w:tc>
        <w:tc>
          <w:tcPr>
            <w:tcW w:type="dxa" w:w="1674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vAlign w:val="center"/>
          </w:tcPr>
          <w:p w14:paraId="26000000">
            <w:pPr>
              <w:spacing w:after="0" w:before="0"/>
              <w:ind w:firstLine="0" w:left="0" w:right="0"/>
              <w:jc w:val="center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b w:val="0"/>
                <w:sz w:val="24"/>
              </w:rPr>
              <w:t>Присутствует</w:t>
            </w:r>
          </w:p>
        </w:tc>
      </w:tr>
      <w:tr>
        <w:tc>
          <w:tcPr>
            <w:tcW w:type="dxa" w:w="566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vAlign w:val="center"/>
          </w:tcPr>
          <w:p w14:paraId="27000000">
            <w:pPr>
              <w:spacing w:after="0" w:before="0"/>
              <w:ind w:firstLine="0" w:left="0" w:right="0"/>
              <w:jc w:val="center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b w:val="0"/>
                <w:sz w:val="24"/>
              </w:rPr>
              <w:t>3</w:t>
            </w:r>
          </w:p>
        </w:tc>
        <w:tc>
          <w:tcPr>
            <w:tcW w:type="dxa" w:w="1245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vAlign w:val="center"/>
          </w:tcPr>
          <w:p w14:paraId="28000000">
            <w:pPr>
              <w:spacing w:after="0" w:before="0"/>
              <w:ind w:firstLine="0" w:left="0" w:right="0"/>
              <w:jc w:val="center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b w:val="0"/>
                <w:sz w:val="24"/>
              </w:rPr>
              <w:t>Высокий</w:t>
            </w:r>
          </w:p>
        </w:tc>
        <w:tc>
          <w:tcPr>
            <w:tcW w:type="dxa" w:w="281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vAlign w:val="center"/>
          </w:tcPr>
          <w:p w14:paraId="29000000">
            <w:pPr>
              <w:spacing w:after="0" w:before="0"/>
              <w:ind w:firstLine="0" w:left="0" w:right="0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b w:val="0"/>
                <w:sz w:val="24"/>
              </w:rPr>
              <w:t>обеспечение работы совещательных органов, комиссий, принимающих решения (рекомендации) о предоставлении государственной поддержки;</w:t>
            </w:r>
          </w:p>
        </w:tc>
        <w:tc>
          <w:tcPr>
            <w:tcW w:type="dxa" w:w="7155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vAlign w:val="center"/>
          </w:tcPr>
          <w:p w14:paraId="2A000000">
            <w:pPr>
              <w:numPr>
                <w:ilvl w:val="0"/>
                <w:numId w:val="3"/>
              </w:numPr>
              <w:spacing w:after="0" w:before="0"/>
              <w:ind w:firstLine="0" w:left="0" w:right="0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b w:val="0"/>
                <w:sz w:val="24"/>
              </w:rPr>
              <w:t>недостаточный уровень внутреннего контроля;</w:t>
            </w:r>
          </w:p>
          <w:p w14:paraId="2B000000">
            <w:pPr>
              <w:numPr>
                <w:ilvl w:val="0"/>
                <w:numId w:val="3"/>
              </w:numPr>
              <w:spacing w:after="0" w:before="0"/>
              <w:ind w:firstLine="0" w:left="0" w:right="0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b w:val="0"/>
                <w:sz w:val="24"/>
              </w:rPr>
              <w:t>недостаточный уровень квалификации специалистов;</w:t>
            </w:r>
          </w:p>
          <w:p w14:paraId="2C000000">
            <w:pPr>
              <w:numPr>
                <w:ilvl w:val="0"/>
                <w:numId w:val="3"/>
              </w:numPr>
              <w:spacing w:after="0" w:before="0"/>
              <w:ind w:firstLine="0" w:left="0" w:right="0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b w:val="0"/>
                <w:sz w:val="24"/>
              </w:rPr>
              <w:t>наличие конфликта интересов; отсутствие внутриведомственных регламентов и правил, определяющих порядок поведения сотрудника, ответственного за проведение торгов, входящего в состав комиссии;</w:t>
            </w:r>
          </w:p>
          <w:p w14:paraId="2D000000">
            <w:pPr>
              <w:numPr>
                <w:ilvl w:val="0"/>
                <w:numId w:val="3"/>
              </w:numPr>
              <w:spacing w:after="0" w:before="0"/>
              <w:ind w:firstLine="0" w:left="0" w:right="0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b w:val="0"/>
                <w:sz w:val="24"/>
              </w:rPr>
              <w:t>принятие решений, нарушающих порядок предоставления субсидий за счет средств бюджета Краснодарского края;</w:t>
            </w:r>
          </w:p>
          <w:p w14:paraId="2E000000">
            <w:pPr>
              <w:numPr>
                <w:ilvl w:val="0"/>
                <w:numId w:val="3"/>
              </w:numPr>
              <w:spacing w:after="0" w:before="0"/>
              <w:ind w:firstLine="0" w:left="0" w:right="0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b w:val="0"/>
                <w:sz w:val="24"/>
              </w:rPr>
              <w:t>предоставление необоснованных преференций при принятии решений о допуске к участию в конкурсном отборе и предоставлении субсидии юридическим лицам;</w:t>
            </w:r>
          </w:p>
          <w:p w14:paraId="2F000000">
            <w:pPr>
              <w:numPr>
                <w:ilvl w:val="0"/>
                <w:numId w:val="3"/>
              </w:numPr>
              <w:spacing w:after="0" w:before="0"/>
              <w:ind w:firstLine="0" w:left="0" w:right="0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b w:val="0"/>
                <w:sz w:val="24"/>
              </w:rPr>
              <w:t>ограничение доступа к информации;</w:t>
            </w:r>
          </w:p>
          <w:p w14:paraId="30000000">
            <w:pPr>
              <w:numPr>
                <w:ilvl w:val="0"/>
                <w:numId w:val="3"/>
              </w:numPr>
              <w:spacing w:after="0" w:before="0"/>
              <w:ind w:firstLine="0" w:left="0" w:right="0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b w:val="0"/>
                <w:sz w:val="24"/>
              </w:rPr>
              <w:t>недостаточная подготовка к проведению конкурсного отбора.</w:t>
            </w:r>
          </w:p>
        </w:tc>
        <w:tc>
          <w:tcPr>
            <w:tcW w:type="dxa" w:w="1689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vAlign w:val="center"/>
          </w:tcPr>
          <w:p w14:paraId="31000000">
            <w:pPr>
              <w:spacing w:after="0" w:before="0"/>
              <w:ind w:firstLine="0" w:left="0" w:right="0"/>
              <w:jc w:val="center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b w:val="0"/>
                <w:sz w:val="24"/>
              </w:rPr>
              <w:t>Присутствует</w:t>
            </w:r>
          </w:p>
        </w:tc>
        <w:tc>
          <w:tcPr>
            <w:tcW w:type="dxa" w:w="1674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vAlign w:val="center"/>
          </w:tcPr>
          <w:p w14:paraId="32000000">
            <w:pPr>
              <w:spacing w:after="0" w:before="0"/>
              <w:ind w:firstLine="0" w:left="0" w:right="0"/>
              <w:rPr>
                <w:rFonts w:ascii="XO Thames" w:hAnsi="XO Thames"/>
                <w:sz w:val="24"/>
              </w:rPr>
            </w:pPr>
          </w:p>
        </w:tc>
      </w:tr>
      <w:tr>
        <w:tc>
          <w:tcPr>
            <w:tcW w:type="dxa" w:w="566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vAlign w:val="center"/>
          </w:tcPr>
          <w:p/>
        </w:tc>
        <w:tc>
          <w:tcPr>
            <w:tcW w:type="dxa" w:w="124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vAlign w:val="center"/>
          </w:tcPr>
          <w:p/>
        </w:tc>
        <w:tc>
          <w:tcPr>
            <w:tcW w:type="dxa" w:w="281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vAlign w:val="center"/>
          </w:tcPr>
          <w:p w14:paraId="33000000">
            <w:pPr>
              <w:spacing w:after="0" w:before="0"/>
              <w:ind w:firstLine="0" w:left="0" w:right="0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b w:val="0"/>
                <w:sz w:val="24"/>
              </w:rPr>
              <w:t>проведение конкурсов на получение грантов, субсидий</w:t>
            </w:r>
          </w:p>
        </w:tc>
        <w:tc>
          <w:tcPr>
            <w:tcW w:type="dxa" w:w="715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vAlign w:val="center"/>
          </w:tcPr>
          <w:p/>
        </w:tc>
        <w:tc>
          <w:tcPr>
            <w:tcW w:type="dxa" w:w="1689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vAlign w:val="center"/>
          </w:tcPr>
          <w:p/>
        </w:tc>
        <w:tc>
          <w:tcPr>
            <w:tcW w:type="dxa" w:w="1674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vAlign w:val="center"/>
          </w:tcPr>
          <w:p w14:paraId="34000000">
            <w:pPr>
              <w:spacing w:after="0" w:before="0"/>
              <w:ind w:firstLine="0" w:left="0" w:right="0"/>
              <w:rPr>
                <w:rFonts w:ascii="XO Thames" w:hAnsi="XO Thames"/>
                <w:sz w:val="24"/>
              </w:rPr>
            </w:pPr>
          </w:p>
        </w:tc>
      </w:tr>
      <w:tr>
        <w:tc>
          <w:tcPr>
            <w:tcW w:type="dxa" w:w="5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vAlign w:val="center"/>
          </w:tcPr>
          <w:p w14:paraId="35000000">
            <w:pPr>
              <w:spacing w:after="0" w:before="0"/>
              <w:ind w:firstLine="0" w:left="0" w:right="0"/>
              <w:jc w:val="center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b w:val="0"/>
                <w:sz w:val="24"/>
              </w:rPr>
              <w:t>4</w:t>
            </w:r>
          </w:p>
        </w:tc>
        <w:tc>
          <w:tcPr>
            <w:tcW w:type="dxa" w:w="124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vAlign w:val="center"/>
          </w:tcPr>
          <w:p w14:paraId="36000000">
            <w:pPr>
              <w:spacing w:after="0" w:before="0"/>
              <w:ind w:firstLine="0" w:left="0" w:right="0"/>
              <w:jc w:val="center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b w:val="0"/>
                <w:sz w:val="24"/>
              </w:rPr>
              <w:t>Средний</w:t>
            </w:r>
          </w:p>
        </w:tc>
        <w:tc>
          <w:tcPr>
            <w:tcW w:type="dxa" w:w="281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vAlign w:val="center"/>
          </w:tcPr>
          <w:p w14:paraId="37000000">
            <w:pPr>
              <w:spacing w:after="0" w:before="0"/>
              <w:ind w:firstLine="0" w:left="0" w:right="0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b w:val="0"/>
                <w:sz w:val="24"/>
              </w:rPr>
              <w:t>репутационный риск (ущерб деловой репутации),</w:t>
            </w:r>
          </w:p>
          <w:p w14:paraId="38000000">
            <w:pPr>
              <w:spacing w:after="0" w:before="0"/>
              <w:ind w:firstLine="0" w:left="0" w:right="0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b w:val="0"/>
                <w:sz w:val="24"/>
              </w:rPr>
              <w:t>связан с мнением общественности (должностных лиц, партнеров, институтов гражданского общества)</w:t>
            </w:r>
          </w:p>
        </w:tc>
        <w:tc>
          <w:tcPr>
            <w:tcW w:type="dxa" w:w="715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vAlign w:val="center"/>
          </w:tcPr>
          <w:p w14:paraId="39000000">
            <w:pPr>
              <w:numPr>
                <w:ilvl w:val="0"/>
                <w:numId w:val="4"/>
              </w:numPr>
              <w:spacing w:after="0" w:before="0"/>
              <w:ind w:firstLine="0" w:left="0" w:right="0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b w:val="0"/>
                <w:sz w:val="24"/>
              </w:rPr>
              <w:t>информационное освещение деятельности министерства в СМИ, на официальном сайте министерства и в социальных сетях, влекущее нарушение норм антимонопольного законодательства;</w:t>
            </w:r>
          </w:p>
          <w:p w14:paraId="3A000000">
            <w:pPr>
              <w:numPr>
                <w:ilvl w:val="0"/>
                <w:numId w:val="4"/>
              </w:numPr>
              <w:spacing w:after="0" w:before="0"/>
              <w:ind w:firstLine="0" w:left="0" w:right="0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b w:val="0"/>
                <w:sz w:val="24"/>
              </w:rPr>
              <w:t>отсутствие внутреннего контроля за содержанием размещаемого материала;</w:t>
            </w:r>
          </w:p>
          <w:p w14:paraId="3B000000">
            <w:pPr>
              <w:numPr>
                <w:ilvl w:val="0"/>
                <w:numId w:val="4"/>
              </w:numPr>
              <w:spacing w:after="0" w:before="0"/>
              <w:ind w:firstLine="0" w:left="0" w:right="0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b w:val="0"/>
                <w:sz w:val="24"/>
              </w:rPr>
              <w:t>поручения вышестоящего руководства.</w:t>
            </w:r>
          </w:p>
        </w:tc>
        <w:tc>
          <w:tcPr>
            <w:tcW w:type="dxa" w:w="168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vAlign w:val="center"/>
          </w:tcPr>
          <w:p w14:paraId="3C000000">
            <w:pPr>
              <w:spacing w:after="0" w:before="0"/>
              <w:ind w:firstLine="0" w:left="0" w:right="0"/>
              <w:jc w:val="center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b w:val="0"/>
                <w:sz w:val="24"/>
              </w:rPr>
              <w:t>Имеется</w:t>
            </w:r>
          </w:p>
        </w:tc>
        <w:tc>
          <w:tcPr>
            <w:tcW w:type="dxa" w:w="1674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vAlign w:val="center"/>
          </w:tcPr>
          <w:p w14:paraId="3D000000">
            <w:pPr>
              <w:spacing w:after="0" w:before="0"/>
              <w:ind w:firstLine="0" w:left="0" w:right="0"/>
              <w:jc w:val="center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b w:val="0"/>
                <w:sz w:val="24"/>
              </w:rPr>
              <w:t>Присутствует</w:t>
            </w:r>
          </w:p>
        </w:tc>
      </w:tr>
      <w:tr>
        <w:tc>
          <w:tcPr>
            <w:tcW w:type="dxa" w:w="5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vAlign w:val="center"/>
          </w:tcPr>
          <w:p w14:paraId="3E000000">
            <w:pPr>
              <w:spacing w:after="0" w:before="0"/>
              <w:ind w:firstLine="0" w:left="0" w:right="0"/>
              <w:jc w:val="center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b w:val="0"/>
                <w:sz w:val="24"/>
              </w:rPr>
              <w:t>5</w:t>
            </w:r>
          </w:p>
        </w:tc>
        <w:tc>
          <w:tcPr>
            <w:tcW w:type="dxa" w:w="124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vAlign w:val="center"/>
          </w:tcPr>
          <w:p w14:paraId="3F000000">
            <w:pPr>
              <w:spacing w:after="0" w:before="0"/>
              <w:ind w:firstLine="0" w:left="0" w:right="0"/>
              <w:jc w:val="center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b w:val="0"/>
                <w:sz w:val="24"/>
              </w:rPr>
              <w:t>Средний</w:t>
            </w:r>
          </w:p>
        </w:tc>
        <w:tc>
          <w:tcPr>
            <w:tcW w:type="dxa" w:w="281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vAlign w:val="center"/>
          </w:tcPr>
          <w:p w14:paraId="40000000">
            <w:pPr>
              <w:spacing w:after="0" w:before="0"/>
              <w:ind w:firstLine="0" w:left="0" w:right="0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b w:val="0"/>
                <w:sz w:val="24"/>
              </w:rPr>
              <w:t>несвоевременная подготовка ответов на обращения граждан и юридических лиц</w:t>
            </w:r>
          </w:p>
        </w:tc>
        <w:tc>
          <w:tcPr>
            <w:tcW w:type="dxa" w:w="715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vAlign w:val="center"/>
          </w:tcPr>
          <w:p w14:paraId="41000000">
            <w:pPr>
              <w:numPr>
                <w:ilvl w:val="0"/>
                <w:numId w:val="5"/>
              </w:numPr>
              <w:spacing w:after="0" w:before="0"/>
              <w:ind w:firstLine="0" w:left="0" w:right="0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b w:val="0"/>
                <w:sz w:val="24"/>
              </w:rPr>
              <w:t>недостаточный уровень внутреннего контроля;</w:t>
            </w:r>
          </w:p>
          <w:p w14:paraId="42000000">
            <w:pPr>
              <w:numPr>
                <w:ilvl w:val="0"/>
                <w:numId w:val="5"/>
              </w:numPr>
              <w:spacing w:after="0" w:before="0"/>
              <w:ind w:firstLine="0" w:left="0" w:right="0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b w:val="0"/>
                <w:sz w:val="24"/>
              </w:rPr>
              <w:t>недостаточный уровень квалификации специалистов;</w:t>
            </w:r>
          </w:p>
          <w:p w14:paraId="43000000">
            <w:pPr>
              <w:numPr>
                <w:ilvl w:val="0"/>
                <w:numId w:val="5"/>
              </w:numPr>
              <w:spacing w:after="0" w:before="0"/>
              <w:ind w:firstLine="0" w:left="0" w:right="0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b w:val="0"/>
                <w:sz w:val="24"/>
              </w:rPr>
              <w:t>высокая нагрузка сотрудников;</w:t>
            </w:r>
          </w:p>
        </w:tc>
        <w:tc>
          <w:tcPr>
            <w:tcW w:type="dxa" w:w="168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vAlign w:val="center"/>
          </w:tcPr>
          <w:p w14:paraId="44000000">
            <w:pPr>
              <w:spacing w:after="0" w:before="0"/>
              <w:ind w:firstLine="0" w:left="0" w:right="0"/>
              <w:jc w:val="center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b w:val="0"/>
                <w:sz w:val="24"/>
              </w:rPr>
              <w:t>Имеется</w:t>
            </w:r>
          </w:p>
        </w:tc>
        <w:tc>
          <w:tcPr>
            <w:tcW w:type="dxa" w:w="1674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vAlign w:val="center"/>
          </w:tcPr>
          <w:p w14:paraId="45000000">
            <w:pPr>
              <w:spacing w:after="0" w:before="0"/>
              <w:ind w:firstLine="0" w:left="0" w:right="0"/>
              <w:jc w:val="center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b w:val="0"/>
                <w:sz w:val="24"/>
              </w:rPr>
              <w:t>Присутствует</w:t>
            </w:r>
          </w:p>
        </w:tc>
      </w:tr>
      <w:tr>
        <w:tc>
          <w:tcPr>
            <w:tcW w:type="dxa" w:w="5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vAlign w:val="center"/>
          </w:tcPr>
          <w:p w14:paraId="46000000">
            <w:pPr>
              <w:spacing w:after="0" w:before="0"/>
              <w:ind w:firstLine="0" w:left="0" w:right="0"/>
              <w:jc w:val="center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b w:val="0"/>
                <w:sz w:val="24"/>
              </w:rPr>
              <w:t>6</w:t>
            </w:r>
          </w:p>
        </w:tc>
        <w:tc>
          <w:tcPr>
            <w:tcW w:type="dxa" w:w="124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vAlign w:val="center"/>
          </w:tcPr>
          <w:p w14:paraId="47000000">
            <w:pPr>
              <w:spacing w:after="0" w:before="0"/>
              <w:ind w:firstLine="0" w:left="0" w:right="0"/>
              <w:jc w:val="center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b w:val="0"/>
                <w:sz w:val="24"/>
              </w:rPr>
              <w:t>Средний</w:t>
            </w:r>
          </w:p>
        </w:tc>
        <w:tc>
          <w:tcPr>
            <w:tcW w:type="dxa" w:w="281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vAlign w:val="center"/>
          </w:tcPr>
          <w:p w14:paraId="48000000">
            <w:pPr>
              <w:spacing w:after="0" w:before="0"/>
              <w:ind w:firstLine="0" w:left="0" w:right="0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b w:val="0"/>
                <w:sz w:val="24"/>
              </w:rPr>
              <w:t>необоснованный отказ в предоставлении государственной или муниципальной услуги</w:t>
            </w:r>
          </w:p>
        </w:tc>
        <w:tc>
          <w:tcPr>
            <w:tcW w:type="dxa" w:w="715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vAlign w:val="center"/>
          </w:tcPr>
          <w:p w14:paraId="49000000">
            <w:pPr>
              <w:numPr>
                <w:ilvl w:val="0"/>
                <w:numId w:val="6"/>
              </w:numPr>
              <w:spacing w:after="0" w:before="0"/>
              <w:ind w:firstLine="0" w:left="0" w:right="0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b w:val="0"/>
                <w:sz w:val="24"/>
              </w:rPr>
              <w:t>недостаточный уровень внутреннего контроля;</w:t>
            </w:r>
          </w:p>
          <w:p w14:paraId="4A000000">
            <w:pPr>
              <w:numPr>
                <w:ilvl w:val="0"/>
                <w:numId w:val="6"/>
              </w:numPr>
              <w:spacing w:after="0" w:before="0"/>
              <w:ind w:firstLine="0" w:left="0" w:right="0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b w:val="0"/>
                <w:sz w:val="24"/>
              </w:rPr>
              <w:t>недостаточный уровень квалификации специалистов;</w:t>
            </w:r>
          </w:p>
          <w:p w14:paraId="4B000000">
            <w:pPr>
              <w:numPr>
                <w:ilvl w:val="0"/>
                <w:numId w:val="6"/>
              </w:numPr>
              <w:spacing w:after="0" w:before="0"/>
              <w:ind w:firstLine="0" w:left="0" w:right="0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b w:val="0"/>
                <w:sz w:val="24"/>
              </w:rPr>
              <w:t>высокая нагрузка сотрудников;</w:t>
            </w:r>
          </w:p>
          <w:p w14:paraId="4C000000">
            <w:pPr>
              <w:numPr>
                <w:ilvl w:val="0"/>
                <w:numId w:val="6"/>
              </w:numPr>
              <w:spacing w:after="0" w:before="0"/>
              <w:ind w:firstLine="0" w:left="0" w:right="0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b w:val="0"/>
                <w:sz w:val="24"/>
              </w:rPr>
              <w:t>наличие конфликта интересов;</w:t>
            </w:r>
          </w:p>
          <w:p w14:paraId="4D000000">
            <w:pPr>
              <w:numPr>
                <w:ilvl w:val="0"/>
                <w:numId w:val="6"/>
              </w:numPr>
              <w:spacing w:after="0" w:before="0"/>
              <w:ind w:firstLine="0" w:left="0" w:right="0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b w:val="0"/>
                <w:sz w:val="24"/>
              </w:rPr>
              <w:t>ослабление контроля за предоставлением государственной или муниципальной услуги.</w:t>
            </w:r>
          </w:p>
        </w:tc>
        <w:tc>
          <w:tcPr>
            <w:tcW w:type="dxa" w:w="168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vAlign w:val="center"/>
          </w:tcPr>
          <w:p w14:paraId="4E000000">
            <w:pPr>
              <w:spacing w:after="0" w:before="0"/>
              <w:ind w:firstLine="0" w:left="0" w:right="0"/>
              <w:jc w:val="center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b w:val="0"/>
                <w:sz w:val="24"/>
              </w:rPr>
              <w:t>Имеется</w:t>
            </w:r>
          </w:p>
        </w:tc>
        <w:tc>
          <w:tcPr>
            <w:tcW w:type="dxa" w:w="1674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vAlign w:val="center"/>
          </w:tcPr>
          <w:p w14:paraId="4F000000">
            <w:pPr>
              <w:spacing w:after="0" w:before="0"/>
              <w:ind w:firstLine="0" w:left="0" w:right="0"/>
              <w:jc w:val="center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b w:val="0"/>
                <w:sz w:val="24"/>
              </w:rPr>
              <w:t>Присутствует</w:t>
            </w:r>
          </w:p>
        </w:tc>
      </w:tr>
      <w:tr>
        <w:tc>
          <w:tcPr>
            <w:tcW w:type="dxa" w:w="5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vAlign w:val="center"/>
          </w:tcPr>
          <w:p w14:paraId="50000000">
            <w:pPr>
              <w:spacing w:after="0" w:before="0"/>
              <w:ind w:firstLine="0" w:left="0" w:right="0"/>
              <w:jc w:val="center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b w:val="0"/>
                <w:sz w:val="24"/>
              </w:rPr>
              <w:t>7</w:t>
            </w:r>
          </w:p>
        </w:tc>
        <w:tc>
          <w:tcPr>
            <w:tcW w:type="dxa" w:w="124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vAlign w:val="center"/>
          </w:tcPr>
          <w:p w14:paraId="51000000">
            <w:pPr>
              <w:spacing w:after="0" w:before="0"/>
              <w:ind w:firstLine="0" w:left="0" w:right="0"/>
              <w:jc w:val="center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b w:val="0"/>
                <w:sz w:val="24"/>
              </w:rPr>
              <w:t>Низкий</w:t>
            </w:r>
          </w:p>
        </w:tc>
        <w:tc>
          <w:tcPr>
            <w:tcW w:type="dxa" w:w="281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vAlign w:val="center"/>
          </w:tcPr>
          <w:p w14:paraId="52000000">
            <w:pPr>
              <w:spacing w:after="0" w:before="0"/>
              <w:ind w:firstLine="0" w:left="0" w:right="0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b w:val="0"/>
                <w:sz w:val="24"/>
              </w:rPr>
              <w:t>наличие комплаенс-рисков в действующих нормативных правовых актах</w:t>
            </w:r>
          </w:p>
        </w:tc>
        <w:tc>
          <w:tcPr>
            <w:tcW w:type="dxa" w:w="715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vAlign w:val="center"/>
          </w:tcPr>
          <w:p w14:paraId="53000000">
            <w:pPr>
              <w:spacing w:after="0" w:before="0"/>
              <w:ind w:firstLine="0" w:left="0" w:right="0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b w:val="0"/>
                <w:sz w:val="24"/>
              </w:rPr>
              <w:t>разработка правовых актов без учета положений статей 15 и 16 Федерального закона от 26 июля 2006 г. № 135-ФЗ «О защите конкуренции».</w:t>
            </w:r>
          </w:p>
        </w:tc>
        <w:tc>
          <w:tcPr>
            <w:tcW w:type="dxa" w:w="168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vAlign w:val="center"/>
          </w:tcPr>
          <w:p w14:paraId="54000000">
            <w:pPr>
              <w:spacing w:after="0" w:before="0"/>
              <w:ind w:firstLine="0" w:left="0" w:right="0"/>
              <w:jc w:val="center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b w:val="0"/>
                <w:sz w:val="24"/>
              </w:rPr>
              <w:t>Имеется</w:t>
            </w:r>
          </w:p>
        </w:tc>
        <w:tc>
          <w:tcPr>
            <w:tcW w:type="dxa" w:w="1674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vAlign w:val="center"/>
          </w:tcPr>
          <w:p w14:paraId="55000000">
            <w:pPr>
              <w:spacing w:after="0" w:before="0"/>
              <w:ind w:firstLine="0" w:left="0" w:right="0"/>
              <w:jc w:val="center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b w:val="0"/>
                <w:sz w:val="24"/>
              </w:rPr>
              <w:t>Присутствует</w:t>
            </w:r>
          </w:p>
        </w:tc>
      </w:tr>
      <w:tr>
        <w:tc>
          <w:tcPr>
            <w:tcW w:type="dxa" w:w="5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vAlign w:val="center"/>
          </w:tcPr>
          <w:p w14:paraId="56000000">
            <w:pPr>
              <w:spacing w:after="0" w:before="0"/>
              <w:ind w:firstLine="0" w:left="0" w:right="0"/>
              <w:jc w:val="center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b w:val="0"/>
                <w:sz w:val="24"/>
              </w:rPr>
              <w:t>8</w:t>
            </w:r>
          </w:p>
        </w:tc>
        <w:tc>
          <w:tcPr>
            <w:tcW w:type="dxa" w:w="124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vAlign w:val="center"/>
          </w:tcPr>
          <w:p w14:paraId="57000000">
            <w:pPr>
              <w:spacing w:after="0" w:before="0"/>
              <w:ind w:firstLine="0" w:left="0" w:right="0"/>
              <w:jc w:val="center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b w:val="0"/>
                <w:sz w:val="24"/>
              </w:rPr>
              <w:t>Низкий</w:t>
            </w:r>
          </w:p>
        </w:tc>
        <w:tc>
          <w:tcPr>
            <w:tcW w:type="dxa" w:w="281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vAlign w:val="center"/>
          </w:tcPr>
          <w:p w14:paraId="58000000">
            <w:pPr>
              <w:spacing w:after="0" w:before="0"/>
              <w:ind w:firstLine="0" w:left="0" w:right="0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b w:val="0"/>
                <w:sz w:val="24"/>
              </w:rPr>
              <w:t>разработка нормативных правовых актов, регламентирующих деятельность органа власти, органов местного самоуправления муниципального образования</w:t>
            </w:r>
          </w:p>
        </w:tc>
        <w:tc>
          <w:tcPr>
            <w:tcW w:type="dxa" w:w="715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vAlign w:val="center"/>
          </w:tcPr>
          <w:p w14:paraId="59000000">
            <w:pPr>
              <w:spacing w:after="0" w:before="0"/>
              <w:ind w:firstLine="0" w:left="0" w:right="0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b w:val="0"/>
                <w:sz w:val="24"/>
              </w:rPr>
              <w:t>разработка правовых актов без учета положений статей 15 и 16 Федерального закона от 26 июля 2006 г. № 135-ФЗ «О защите конкуренции».</w:t>
            </w:r>
          </w:p>
        </w:tc>
        <w:tc>
          <w:tcPr>
            <w:tcW w:type="dxa" w:w="168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vAlign w:val="center"/>
          </w:tcPr>
          <w:p w14:paraId="5A000000">
            <w:pPr>
              <w:spacing w:after="0" w:before="0"/>
              <w:ind w:firstLine="0" w:left="0" w:right="0"/>
              <w:jc w:val="center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b w:val="0"/>
                <w:sz w:val="24"/>
              </w:rPr>
              <w:t>Имеется</w:t>
            </w:r>
          </w:p>
        </w:tc>
        <w:tc>
          <w:tcPr>
            <w:tcW w:type="dxa" w:w="1674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vAlign w:val="center"/>
          </w:tcPr>
          <w:p w14:paraId="5B000000">
            <w:pPr>
              <w:spacing w:after="0" w:before="0"/>
              <w:ind w:firstLine="0" w:left="0" w:right="0"/>
              <w:jc w:val="center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b w:val="0"/>
                <w:sz w:val="24"/>
              </w:rPr>
              <w:t>Присутствует</w:t>
            </w:r>
          </w:p>
        </w:tc>
      </w:tr>
      <w:tr>
        <w:tc>
          <w:tcPr>
            <w:tcW w:type="dxa" w:w="5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vAlign w:val="center"/>
          </w:tcPr>
          <w:p w14:paraId="5C000000">
            <w:pPr>
              <w:spacing w:after="0" w:before="0"/>
              <w:ind w:firstLine="0" w:left="0" w:right="0"/>
              <w:jc w:val="center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b w:val="0"/>
                <w:sz w:val="24"/>
              </w:rPr>
              <w:t>9</w:t>
            </w:r>
          </w:p>
        </w:tc>
        <w:tc>
          <w:tcPr>
            <w:tcW w:type="dxa" w:w="124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vAlign w:val="center"/>
          </w:tcPr>
          <w:p w14:paraId="5D000000">
            <w:pPr>
              <w:spacing w:after="0" w:before="0"/>
              <w:ind w:firstLine="0" w:left="0" w:right="0"/>
              <w:jc w:val="center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b w:val="0"/>
                <w:sz w:val="24"/>
              </w:rPr>
              <w:t>Низкий</w:t>
            </w:r>
          </w:p>
        </w:tc>
        <w:tc>
          <w:tcPr>
            <w:tcW w:type="dxa" w:w="281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vAlign w:val="center"/>
          </w:tcPr>
          <w:p w14:paraId="5E000000">
            <w:pPr>
              <w:spacing w:after="0" w:before="0"/>
              <w:ind w:firstLine="0" w:left="0" w:right="0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b w:val="0"/>
                <w:sz w:val="24"/>
              </w:rPr>
              <w:t>создание и контроль деятельности подведомственных учреждений, хозяйственных обществ</w:t>
            </w:r>
          </w:p>
        </w:tc>
        <w:tc>
          <w:tcPr>
            <w:tcW w:type="dxa" w:w="715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vAlign w:val="center"/>
          </w:tcPr>
          <w:p w14:paraId="5F000000">
            <w:pPr>
              <w:numPr>
                <w:ilvl w:val="0"/>
                <w:numId w:val="7"/>
              </w:numPr>
              <w:spacing w:after="0" w:before="0"/>
              <w:ind w:firstLine="0" w:left="0" w:right="0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b w:val="0"/>
                <w:sz w:val="24"/>
              </w:rPr>
              <w:t>недостаточный уровень внутреннего контроля;</w:t>
            </w:r>
          </w:p>
          <w:p w14:paraId="60000000">
            <w:pPr>
              <w:numPr>
                <w:ilvl w:val="0"/>
                <w:numId w:val="7"/>
              </w:numPr>
              <w:spacing w:after="0" w:before="0"/>
              <w:ind w:firstLine="0" w:left="0" w:right="0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b w:val="0"/>
                <w:sz w:val="24"/>
              </w:rPr>
              <w:t>недостаточный уровень квалификации специалистов;</w:t>
            </w:r>
          </w:p>
          <w:p w14:paraId="61000000">
            <w:pPr>
              <w:numPr>
                <w:ilvl w:val="0"/>
                <w:numId w:val="7"/>
              </w:numPr>
              <w:spacing w:after="0" w:before="0"/>
              <w:ind w:firstLine="0" w:left="0" w:right="0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b w:val="0"/>
                <w:sz w:val="24"/>
              </w:rPr>
              <w:t>несоблюдение требований законодательства, в том числе Закона о некоммерческих организациях, БК РФ и т.д.</w:t>
            </w:r>
          </w:p>
        </w:tc>
        <w:tc>
          <w:tcPr>
            <w:tcW w:type="dxa" w:w="168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vAlign w:val="center"/>
          </w:tcPr>
          <w:p w14:paraId="62000000">
            <w:pPr>
              <w:spacing w:after="0" w:before="0"/>
              <w:ind w:firstLine="0" w:left="0" w:right="0"/>
              <w:jc w:val="center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b w:val="0"/>
                <w:sz w:val="24"/>
              </w:rPr>
              <w:t>Имеется</w:t>
            </w:r>
          </w:p>
        </w:tc>
        <w:tc>
          <w:tcPr>
            <w:tcW w:type="dxa" w:w="1674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vAlign w:val="center"/>
          </w:tcPr>
          <w:p w14:paraId="63000000">
            <w:pPr>
              <w:spacing w:after="0" w:before="0"/>
              <w:ind w:firstLine="0" w:left="0" w:right="0"/>
              <w:jc w:val="center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b w:val="0"/>
                <w:sz w:val="24"/>
              </w:rPr>
              <w:t>Присутствует</w:t>
            </w:r>
          </w:p>
        </w:tc>
      </w:tr>
      <w:tr>
        <w:tc>
          <w:tcPr>
            <w:tcW w:type="dxa" w:w="5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vAlign w:val="center"/>
          </w:tcPr>
          <w:p w14:paraId="64000000">
            <w:pPr>
              <w:spacing w:after="0" w:before="0"/>
              <w:ind w:firstLine="0" w:left="0" w:right="0"/>
              <w:jc w:val="center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b w:val="0"/>
                <w:sz w:val="24"/>
              </w:rPr>
              <w:t>10</w:t>
            </w:r>
          </w:p>
        </w:tc>
        <w:tc>
          <w:tcPr>
            <w:tcW w:type="dxa" w:w="124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vAlign w:val="center"/>
          </w:tcPr>
          <w:p w14:paraId="65000000">
            <w:pPr>
              <w:spacing w:after="0" w:before="0"/>
              <w:ind w:firstLine="0" w:left="0" w:right="0"/>
              <w:jc w:val="center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b w:val="0"/>
                <w:sz w:val="24"/>
              </w:rPr>
              <w:t>Низкий</w:t>
            </w:r>
          </w:p>
        </w:tc>
        <w:tc>
          <w:tcPr>
            <w:tcW w:type="dxa" w:w="281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vAlign w:val="center"/>
          </w:tcPr>
          <w:p w14:paraId="66000000">
            <w:pPr>
              <w:spacing w:after="0" w:before="0"/>
              <w:ind w:firstLine="0" w:left="0" w:right="0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b w:val="0"/>
                <w:sz w:val="24"/>
              </w:rPr>
              <w:t>нарушение положений антимонопольного законодательства при подписании соглашений о сотрудничестве между органом власти или органами местного самоуправления муниципального образования и хозяйствующими субъектами</w:t>
            </w:r>
          </w:p>
        </w:tc>
        <w:tc>
          <w:tcPr>
            <w:tcW w:type="dxa" w:w="715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vAlign w:val="center"/>
          </w:tcPr>
          <w:p w14:paraId="67000000">
            <w:pPr>
              <w:numPr>
                <w:ilvl w:val="0"/>
                <w:numId w:val="8"/>
              </w:numPr>
              <w:spacing w:after="0" w:before="0"/>
              <w:ind w:firstLine="0" w:left="0" w:right="0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b w:val="0"/>
                <w:sz w:val="24"/>
              </w:rPr>
              <w:t>коррупционная составляющая (умысел);</w:t>
            </w:r>
          </w:p>
          <w:p w14:paraId="68000000">
            <w:pPr>
              <w:numPr>
                <w:ilvl w:val="0"/>
                <w:numId w:val="8"/>
              </w:numPr>
              <w:spacing w:after="0" w:before="0"/>
              <w:ind w:firstLine="0" w:left="0" w:right="0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b w:val="0"/>
                <w:sz w:val="24"/>
              </w:rPr>
              <w:t>конфликт интересов;</w:t>
            </w:r>
          </w:p>
          <w:p w14:paraId="69000000">
            <w:pPr>
              <w:numPr>
                <w:ilvl w:val="0"/>
                <w:numId w:val="8"/>
              </w:numPr>
              <w:spacing w:after="0" w:before="0"/>
              <w:ind w:firstLine="0" w:left="0" w:right="0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b w:val="0"/>
                <w:sz w:val="24"/>
              </w:rPr>
              <w:t>нарушение порядка подготовки и подписания соглашения;</w:t>
            </w:r>
          </w:p>
          <w:p w14:paraId="6A000000">
            <w:pPr>
              <w:numPr>
                <w:ilvl w:val="0"/>
                <w:numId w:val="8"/>
              </w:numPr>
              <w:spacing w:after="0" w:before="0"/>
              <w:ind w:firstLine="0" w:left="0" w:right="0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b w:val="0"/>
                <w:sz w:val="24"/>
              </w:rPr>
              <w:t>отсутствие достаточной квалификации сотрудников;</w:t>
            </w:r>
          </w:p>
          <w:p w14:paraId="6B000000">
            <w:pPr>
              <w:numPr>
                <w:ilvl w:val="0"/>
                <w:numId w:val="8"/>
              </w:numPr>
              <w:spacing w:after="0" w:before="0"/>
              <w:ind w:firstLine="0" w:left="0" w:right="0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b w:val="0"/>
                <w:sz w:val="24"/>
              </w:rPr>
              <w:t>высокая нагрузка сотрудников;</w:t>
            </w:r>
          </w:p>
          <w:p w14:paraId="6C000000">
            <w:pPr>
              <w:numPr>
                <w:ilvl w:val="0"/>
                <w:numId w:val="8"/>
              </w:numPr>
              <w:spacing w:after="0" w:before="0"/>
              <w:ind w:firstLine="0" w:left="0" w:right="0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b w:val="0"/>
                <w:sz w:val="24"/>
              </w:rPr>
              <w:t>получение недостоверной информации для принятия решения.</w:t>
            </w:r>
          </w:p>
        </w:tc>
        <w:tc>
          <w:tcPr>
            <w:tcW w:type="dxa" w:w="168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vAlign w:val="center"/>
          </w:tcPr>
          <w:p w14:paraId="6D000000">
            <w:pPr>
              <w:spacing w:after="0" w:before="0"/>
              <w:ind w:firstLine="0" w:left="0" w:right="0"/>
              <w:jc w:val="center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b w:val="0"/>
                <w:sz w:val="24"/>
              </w:rPr>
              <w:t>Имеется</w:t>
            </w:r>
          </w:p>
        </w:tc>
        <w:tc>
          <w:tcPr>
            <w:tcW w:type="dxa" w:w="1674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vAlign w:val="center"/>
          </w:tcPr>
          <w:p w14:paraId="6E000000">
            <w:pPr>
              <w:spacing w:after="0" w:before="0"/>
              <w:ind w:firstLine="0" w:left="0" w:right="0"/>
              <w:jc w:val="center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b w:val="0"/>
                <w:sz w:val="24"/>
              </w:rPr>
              <w:t>Присутствует</w:t>
            </w:r>
          </w:p>
        </w:tc>
      </w:tr>
      <w:tr>
        <w:tc>
          <w:tcPr>
            <w:tcW w:type="dxa" w:w="5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vAlign w:val="center"/>
          </w:tcPr>
          <w:p w14:paraId="6F000000">
            <w:pPr>
              <w:spacing w:after="0" w:before="0"/>
              <w:ind w:firstLine="0" w:left="0" w:right="0"/>
              <w:jc w:val="center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b w:val="0"/>
                <w:sz w:val="24"/>
              </w:rPr>
              <w:t>11</w:t>
            </w:r>
          </w:p>
        </w:tc>
        <w:tc>
          <w:tcPr>
            <w:tcW w:type="dxa" w:w="124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vAlign w:val="center"/>
          </w:tcPr>
          <w:p w14:paraId="70000000">
            <w:pPr>
              <w:spacing w:after="0" w:before="0"/>
              <w:ind w:firstLine="0" w:left="0" w:right="0"/>
              <w:jc w:val="center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b w:val="0"/>
                <w:sz w:val="24"/>
              </w:rPr>
              <w:t>Низкий</w:t>
            </w:r>
          </w:p>
        </w:tc>
        <w:tc>
          <w:tcPr>
            <w:tcW w:type="dxa" w:w="281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vAlign w:val="center"/>
          </w:tcPr>
          <w:p w14:paraId="71000000">
            <w:pPr>
              <w:spacing w:after="0" w:before="0"/>
              <w:ind w:firstLine="0" w:left="0" w:right="0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b w:val="0"/>
                <w:sz w:val="24"/>
              </w:rPr>
              <w:t>непринятие мер по предотвращению или урегулированию конфликта интересов при исполнении должностными лицами своих обязанностей</w:t>
            </w:r>
          </w:p>
        </w:tc>
        <w:tc>
          <w:tcPr>
            <w:tcW w:type="dxa" w:w="715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vAlign w:val="center"/>
          </w:tcPr>
          <w:p w14:paraId="72000000">
            <w:pPr>
              <w:numPr>
                <w:ilvl w:val="0"/>
                <w:numId w:val="9"/>
              </w:numPr>
              <w:spacing w:after="0" w:before="0"/>
              <w:ind w:firstLine="0" w:left="0" w:right="0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b w:val="0"/>
                <w:sz w:val="24"/>
              </w:rPr>
              <w:t>осуществление отдельных функций или принятие кадровых решений в отношении лиц, с которыми связана личная заинтересованность;</w:t>
            </w:r>
          </w:p>
          <w:p w14:paraId="73000000">
            <w:pPr>
              <w:numPr>
                <w:ilvl w:val="0"/>
                <w:numId w:val="9"/>
              </w:numPr>
              <w:spacing w:after="0" w:before="0"/>
              <w:ind w:firstLine="0" w:left="0" w:right="0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b w:val="0"/>
                <w:sz w:val="24"/>
              </w:rPr>
              <w:t>нарушение запретов и ограничений, установленных антикоррупционным законодательством.</w:t>
            </w:r>
          </w:p>
        </w:tc>
        <w:tc>
          <w:tcPr>
            <w:tcW w:type="dxa" w:w="168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vAlign w:val="center"/>
          </w:tcPr>
          <w:p w14:paraId="74000000">
            <w:pPr>
              <w:spacing w:after="0" w:before="0"/>
              <w:ind w:firstLine="0" w:left="0" w:right="0"/>
              <w:jc w:val="center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b w:val="0"/>
                <w:sz w:val="24"/>
              </w:rPr>
              <w:t>Отсутствует</w:t>
            </w:r>
          </w:p>
        </w:tc>
        <w:tc>
          <w:tcPr>
            <w:tcW w:type="dxa" w:w="1674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vAlign w:val="center"/>
          </w:tcPr>
          <w:p w14:paraId="75000000">
            <w:pPr>
              <w:spacing w:after="0" w:before="0"/>
              <w:ind w:firstLine="0" w:left="0" w:right="0"/>
              <w:jc w:val="center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b w:val="0"/>
                <w:sz w:val="24"/>
              </w:rPr>
              <w:t>Отсутствует</w:t>
            </w:r>
          </w:p>
        </w:tc>
      </w:tr>
      <w:tr>
        <w:tc>
          <w:tcPr>
            <w:tcW w:type="dxa" w:w="5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vAlign w:val="center"/>
          </w:tcPr>
          <w:p w14:paraId="76000000">
            <w:pPr>
              <w:spacing w:after="0" w:before="0"/>
              <w:ind w:firstLine="0" w:left="0" w:right="0"/>
              <w:jc w:val="center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b w:val="0"/>
                <w:sz w:val="24"/>
              </w:rPr>
              <w:t>12</w:t>
            </w:r>
          </w:p>
        </w:tc>
        <w:tc>
          <w:tcPr>
            <w:tcW w:type="dxa" w:w="124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vAlign w:val="center"/>
          </w:tcPr>
          <w:p w14:paraId="77000000">
            <w:pPr>
              <w:spacing w:after="0" w:before="0"/>
              <w:ind w:firstLine="0" w:left="0" w:right="0"/>
              <w:jc w:val="center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b w:val="0"/>
                <w:sz w:val="24"/>
              </w:rPr>
              <w:t>Низкий</w:t>
            </w:r>
          </w:p>
        </w:tc>
        <w:tc>
          <w:tcPr>
            <w:tcW w:type="dxa" w:w="281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vAlign w:val="center"/>
          </w:tcPr>
          <w:p w14:paraId="78000000">
            <w:pPr>
              <w:spacing w:after="0" w:before="0"/>
              <w:ind w:firstLine="0" w:left="0" w:right="0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b w:val="0"/>
                <w:sz w:val="24"/>
              </w:rPr>
              <w:t>незаконное привлечение физических и юридических лиц к административной ответственности при осуществлении контроля закупок</w:t>
            </w:r>
          </w:p>
        </w:tc>
        <w:tc>
          <w:tcPr>
            <w:tcW w:type="dxa" w:w="715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vAlign w:val="center"/>
          </w:tcPr>
          <w:p w14:paraId="79000000">
            <w:pPr>
              <w:numPr>
                <w:ilvl w:val="0"/>
                <w:numId w:val="10"/>
              </w:numPr>
              <w:spacing w:after="0" w:before="0"/>
              <w:ind w:firstLine="0" w:left="0" w:right="0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b w:val="0"/>
                <w:sz w:val="24"/>
              </w:rPr>
              <w:t>недостаточный уровень внутреннего контроля;</w:t>
            </w:r>
          </w:p>
          <w:p w14:paraId="7A000000">
            <w:pPr>
              <w:numPr>
                <w:ilvl w:val="0"/>
                <w:numId w:val="10"/>
              </w:numPr>
              <w:spacing w:after="0" w:before="0"/>
              <w:ind w:firstLine="0" w:left="0" w:right="0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b w:val="0"/>
                <w:sz w:val="24"/>
              </w:rPr>
              <w:t>недостаточный уровень квалификации специалистов;</w:t>
            </w:r>
          </w:p>
          <w:p w14:paraId="7B000000">
            <w:pPr>
              <w:numPr>
                <w:ilvl w:val="0"/>
                <w:numId w:val="10"/>
              </w:numPr>
              <w:spacing w:after="0" w:before="0"/>
              <w:ind w:firstLine="0" w:left="0" w:right="0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b w:val="0"/>
                <w:sz w:val="24"/>
              </w:rPr>
              <w:t>несоблюдение положений антимонопольного законодательства.</w:t>
            </w:r>
          </w:p>
        </w:tc>
        <w:tc>
          <w:tcPr>
            <w:tcW w:type="dxa" w:w="168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vAlign w:val="center"/>
          </w:tcPr>
          <w:p w14:paraId="7C000000">
            <w:pPr>
              <w:spacing w:after="0" w:before="0"/>
              <w:ind w:firstLine="0" w:left="0" w:right="0"/>
              <w:jc w:val="center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b w:val="0"/>
                <w:sz w:val="24"/>
              </w:rPr>
              <w:t>Имеется</w:t>
            </w:r>
          </w:p>
        </w:tc>
        <w:tc>
          <w:tcPr>
            <w:tcW w:type="dxa" w:w="1674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vAlign w:val="center"/>
          </w:tcPr>
          <w:p w14:paraId="7D000000">
            <w:pPr>
              <w:spacing w:after="0" w:before="0"/>
              <w:ind w:firstLine="0" w:left="0" w:right="0"/>
              <w:jc w:val="center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b w:val="0"/>
                <w:sz w:val="24"/>
              </w:rPr>
              <w:t>Присутствует</w:t>
            </w:r>
          </w:p>
        </w:tc>
      </w:tr>
      <w:tr>
        <w:tc>
          <w:tcPr>
            <w:tcW w:type="dxa" w:w="5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vAlign w:val="center"/>
          </w:tcPr>
          <w:p w14:paraId="7E000000">
            <w:pPr>
              <w:spacing w:after="0" w:before="0"/>
              <w:ind w:firstLine="0" w:left="0" w:right="0"/>
              <w:jc w:val="center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b w:val="0"/>
                <w:sz w:val="24"/>
              </w:rPr>
              <w:t>13</w:t>
            </w:r>
          </w:p>
        </w:tc>
        <w:tc>
          <w:tcPr>
            <w:tcW w:type="dxa" w:w="124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vAlign w:val="center"/>
          </w:tcPr>
          <w:p w14:paraId="7F000000">
            <w:pPr>
              <w:spacing w:after="0" w:before="0"/>
              <w:ind w:firstLine="0" w:left="0" w:right="0"/>
              <w:jc w:val="center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b w:val="0"/>
                <w:sz w:val="24"/>
              </w:rPr>
              <w:t>Низкий</w:t>
            </w:r>
          </w:p>
        </w:tc>
        <w:tc>
          <w:tcPr>
            <w:tcW w:type="dxa" w:w="281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vAlign w:val="center"/>
          </w:tcPr>
          <w:p w14:paraId="80000000">
            <w:pPr>
              <w:spacing w:after="0" w:before="0"/>
              <w:ind w:firstLine="0" w:left="0" w:right="0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b w:val="0"/>
                <w:sz w:val="24"/>
              </w:rPr>
              <w:t>нарушение порядка предоставления государственной или муниципальной услуги, которое может привести к ограничению, устранению и недопущению конкуренции (например, запрос дополнительных документов, нарушение сроков предоставления муниципальной услуги и т.д.)</w:t>
            </w:r>
          </w:p>
        </w:tc>
        <w:tc>
          <w:tcPr>
            <w:tcW w:type="dxa" w:w="715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vAlign w:val="center"/>
          </w:tcPr>
          <w:p w14:paraId="81000000">
            <w:pPr>
              <w:numPr>
                <w:ilvl w:val="0"/>
                <w:numId w:val="11"/>
              </w:numPr>
              <w:spacing w:after="0" w:before="0"/>
              <w:ind w:firstLine="0" w:left="0" w:right="0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b w:val="0"/>
                <w:sz w:val="24"/>
              </w:rPr>
              <w:t>недостаточный уровень внутреннего контроля;</w:t>
            </w:r>
          </w:p>
          <w:p w14:paraId="82000000">
            <w:pPr>
              <w:numPr>
                <w:ilvl w:val="0"/>
                <w:numId w:val="11"/>
              </w:numPr>
              <w:spacing w:after="0" w:before="0"/>
              <w:ind w:firstLine="0" w:left="0" w:right="0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b w:val="0"/>
                <w:sz w:val="24"/>
              </w:rPr>
              <w:t>недостаточный уровень квалификации специалистов;</w:t>
            </w:r>
          </w:p>
          <w:p w14:paraId="83000000">
            <w:pPr>
              <w:numPr>
                <w:ilvl w:val="0"/>
                <w:numId w:val="11"/>
              </w:numPr>
              <w:spacing w:after="0" w:before="0"/>
              <w:ind w:firstLine="0" w:left="0" w:right="0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b w:val="0"/>
                <w:sz w:val="24"/>
              </w:rPr>
              <w:t>высокая нагрузка сотрудников;</w:t>
            </w:r>
          </w:p>
          <w:p w14:paraId="84000000">
            <w:pPr>
              <w:numPr>
                <w:ilvl w:val="0"/>
                <w:numId w:val="11"/>
              </w:numPr>
              <w:spacing w:after="0" w:before="0"/>
              <w:ind w:firstLine="0" w:left="0" w:right="0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b w:val="0"/>
                <w:sz w:val="24"/>
              </w:rPr>
              <w:t>наличие конфликта интересов;</w:t>
            </w:r>
          </w:p>
          <w:p w14:paraId="85000000">
            <w:pPr>
              <w:numPr>
                <w:ilvl w:val="0"/>
                <w:numId w:val="11"/>
              </w:numPr>
              <w:spacing w:after="0" w:before="0"/>
              <w:ind w:firstLine="0" w:left="0" w:right="0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b w:val="0"/>
                <w:sz w:val="24"/>
              </w:rPr>
              <w:t>отсутствие регламента предоставления конкретной муниципальной услуги;</w:t>
            </w:r>
          </w:p>
          <w:p w14:paraId="86000000">
            <w:pPr>
              <w:numPr>
                <w:ilvl w:val="0"/>
                <w:numId w:val="11"/>
              </w:numPr>
              <w:spacing w:after="0" w:before="0"/>
              <w:ind w:firstLine="0" w:left="0" w:right="0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b w:val="0"/>
                <w:sz w:val="24"/>
              </w:rPr>
              <w:t>ослабление контроля за предоставлением муниципальной услуги.</w:t>
            </w:r>
          </w:p>
        </w:tc>
        <w:tc>
          <w:tcPr>
            <w:tcW w:type="dxa" w:w="168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vAlign w:val="center"/>
          </w:tcPr>
          <w:p w14:paraId="87000000">
            <w:pPr>
              <w:spacing w:after="0" w:before="0"/>
              <w:ind w:firstLine="0" w:left="0" w:right="0"/>
              <w:jc w:val="center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b w:val="0"/>
                <w:sz w:val="24"/>
              </w:rPr>
              <w:t>Имеется</w:t>
            </w:r>
          </w:p>
        </w:tc>
        <w:tc>
          <w:tcPr>
            <w:tcW w:type="dxa" w:w="1674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vAlign w:val="center"/>
          </w:tcPr>
          <w:p w14:paraId="88000000">
            <w:pPr>
              <w:spacing w:after="0" w:before="0"/>
              <w:ind w:firstLine="0" w:left="0" w:right="0"/>
              <w:jc w:val="center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b w:val="0"/>
                <w:sz w:val="24"/>
              </w:rPr>
              <w:t>Присутствует</w:t>
            </w:r>
          </w:p>
        </w:tc>
      </w:tr>
    </w:tbl>
    <w:p w14:paraId="89000000">
      <w:pPr>
        <w:rPr>
          <w:rFonts w:ascii="XO Thames" w:hAnsi="XO Thames"/>
          <w:sz w:val="24"/>
        </w:rPr>
      </w:pPr>
    </w:p>
    <w:sectPr>
      <w:pgSz w:h="11908" w:orient="landscape" w:w="16848"/>
      <w:pgMar w:bottom="850" w:footer="708" w:header="708" w:left="850" w:right="850" w:top="85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1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2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3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4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5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6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7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8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9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10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rPr>
      <w:sz w:val="24"/>
    </w:rPr>
  </w:style>
  <w:style w:default="1" w:styleId="Style_1_ch" w:type="character">
    <w:name w:val="Normal"/>
    <w:link w:val="Style_1"/>
    <w:rPr>
      <w:sz w:val="24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toc 3"/>
    <w:next w:val="Style_1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0"/>
    </w:rPr>
  </w:style>
  <w:style w:styleId="Style_15_ch" w:type="character">
    <w:name w:val="Header and Footer"/>
    <w:link w:val="Style_15"/>
    <w:rPr>
      <w:rFonts w:ascii="XO Thames" w:hAnsi="XO Thames"/>
      <w:sz w:val="20"/>
    </w:rPr>
  </w:style>
  <w:style w:styleId="Style_16" w:type="paragraph">
    <w:name w:val="toc 9"/>
    <w:next w:val="Style_1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MyOffice-CoreFramework-Windows/30-1057.739.7955.691.1@6f967f4b4ae0ae6f94b7d59183011075308df4f8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2024-08-22T06:45:41Z</dcterms:modified>
</cp:coreProperties>
</file>